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52"/>
          <w:szCs w:val="32"/>
        </w:rPr>
      </w:pPr>
    </w:p>
    <w:p>
      <w:pPr>
        <w:spacing w:line="360" w:lineRule="auto"/>
        <w:jc w:val="center"/>
        <w:rPr>
          <w:b/>
          <w:sz w:val="52"/>
          <w:szCs w:val="32"/>
        </w:rPr>
      </w:pPr>
    </w:p>
    <w:p>
      <w:pPr>
        <w:spacing w:line="360" w:lineRule="auto"/>
        <w:jc w:val="center"/>
        <w:rPr>
          <w:rFonts w:ascii="宋体" w:hAnsi="宋体"/>
          <w:b/>
          <w:sz w:val="52"/>
          <w:szCs w:val="36"/>
        </w:rPr>
      </w:pPr>
      <w:r>
        <w:rPr>
          <w:rFonts w:hint="eastAsia" w:ascii="宋体" w:hAnsi="宋体"/>
          <w:b/>
          <w:sz w:val="52"/>
          <w:szCs w:val="36"/>
        </w:rPr>
        <w:t>压缩空气质量测量仪校准规范</w:t>
      </w:r>
    </w:p>
    <w:p>
      <w:pPr>
        <w:spacing w:line="360" w:lineRule="auto"/>
        <w:jc w:val="center"/>
        <w:rPr>
          <w:b/>
          <w:sz w:val="52"/>
          <w:szCs w:val="32"/>
        </w:rPr>
      </w:pPr>
      <w:r>
        <w:rPr>
          <w:rFonts w:hint="eastAsia" w:ascii="宋体" w:hAnsi="宋体"/>
          <w:b/>
          <w:sz w:val="52"/>
          <w:szCs w:val="36"/>
        </w:rPr>
        <w:t>编制说明</w:t>
      </w:r>
    </w:p>
    <w:p>
      <w:pPr>
        <w:spacing w:line="360" w:lineRule="auto"/>
        <w:jc w:val="center"/>
        <w:rPr>
          <w:b/>
          <w:sz w:val="52"/>
          <w:szCs w:val="32"/>
        </w:rPr>
      </w:pPr>
    </w:p>
    <w:p>
      <w:pPr>
        <w:spacing w:line="360" w:lineRule="auto"/>
        <w:jc w:val="center"/>
        <w:rPr>
          <w:b/>
          <w:sz w:val="44"/>
          <w:szCs w:val="32"/>
        </w:rPr>
      </w:pPr>
    </w:p>
    <w:p>
      <w:pPr>
        <w:spacing w:line="360" w:lineRule="auto"/>
        <w:jc w:val="center"/>
        <w:rPr>
          <w:b/>
          <w:sz w:val="44"/>
          <w:szCs w:val="32"/>
        </w:rPr>
      </w:pPr>
    </w:p>
    <w:p>
      <w:pPr>
        <w:spacing w:line="360" w:lineRule="auto"/>
        <w:jc w:val="center"/>
        <w:rPr>
          <w:b/>
          <w:sz w:val="44"/>
          <w:szCs w:val="32"/>
        </w:rPr>
      </w:pPr>
    </w:p>
    <w:p>
      <w:pPr>
        <w:spacing w:line="360" w:lineRule="auto"/>
        <w:jc w:val="center"/>
        <w:rPr>
          <w:b/>
          <w:sz w:val="44"/>
          <w:szCs w:val="32"/>
        </w:rPr>
      </w:pPr>
    </w:p>
    <w:p>
      <w:pPr>
        <w:spacing w:line="360" w:lineRule="auto"/>
        <w:jc w:val="center"/>
        <w:rPr>
          <w:b/>
          <w:sz w:val="44"/>
          <w:szCs w:val="32"/>
        </w:rPr>
      </w:pPr>
    </w:p>
    <w:p>
      <w:pPr>
        <w:spacing w:line="360" w:lineRule="auto"/>
        <w:jc w:val="center"/>
        <w:rPr>
          <w:b/>
          <w:sz w:val="44"/>
          <w:szCs w:val="32"/>
        </w:rPr>
      </w:pPr>
    </w:p>
    <w:p>
      <w:pPr>
        <w:spacing w:line="360" w:lineRule="auto"/>
        <w:jc w:val="center"/>
        <w:rPr>
          <w:b/>
          <w:sz w:val="44"/>
          <w:szCs w:val="32"/>
        </w:rPr>
      </w:pPr>
    </w:p>
    <w:p>
      <w:pPr>
        <w:spacing w:line="360" w:lineRule="auto"/>
        <w:jc w:val="center"/>
        <w:rPr>
          <w:b/>
          <w:sz w:val="44"/>
          <w:szCs w:val="32"/>
        </w:rPr>
      </w:pPr>
    </w:p>
    <w:p>
      <w:pPr>
        <w:spacing w:line="360" w:lineRule="auto"/>
        <w:jc w:val="center"/>
        <w:rPr>
          <w:b/>
          <w:sz w:val="44"/>
          <w:szCs w:val="32"/>
        </w:rPr>
      </w:pPr>
    </w:p>
    <w:p>
      <w:pPr>
        <w:spacing w:line="360" w:lineRule="auto"/>
        <w:jc w:val="center"/>
        <w:rPr>
          <w:b/>
          <w:sz w:val="44"/>
          <w:szCs w:val="32"/>
        </w:rPr>
      </w:pPr>
    </w:p>
    <w:p>
      <w:pPr>
        <w:spacing w:line="360" w:lineRule="auto"/>
        <w:jc w:val="center"/>
        <w:rPr>
          <w:b/>
          <w:sz w:val="44"/>
          <w:szCs w:val="32"/>
        </w:rPr>
      </w:pPr>
    </w:p>
    <w:p>
      <w:pPr>
        <w:spacing w:line="360" w:lineRule="auto"/>
        <w:jc w:val="center"/>
        <w:rPr>
          <w:b/>
          <w:sz w:val="44"/>
          <w:szCs w:val="32"/>
        </w:rPr>
      </w:pPr>
      <w:r>
        <w:rPr>
          <w:rFonts w:hint="eastAsia"/>
          <w:b/>
          <w:sz w:val="44"/>
          <w:szCs w:val="32"/>
        </w:rPr>
        <w:t>福建省计量科学研究院</w:t>
      </w:r>
    </w:p>
    <w:p>
      <w:pPr>
        <w:spacing w:line="360" w:lineRule="auto"/>
        <w:jc w:val="center"/>
        <w:rPr>
          <w:b/>
          <w:sz w:val="44"/>
          <w:szCs w:val="32"/>
        </w:rPr>
      </w:pPr>
      <w:r>
        <w:rPr>
          <w:rFonts w:hint="eastAsia"/>
          <w:b/>
          <w:sz w:val="44"/>
          <w:szCs w:val="32"/>
        </w:rPr>
        <w:t xml:space="preserve">                 </w:t>
      </w:r>
    </w:p>
    <w:p>
      <w:pPr>
        <w:spacing w:line="360" w:lineRule="auto"/>
        <w:jc w:val="center"/>
        <w:rPr>
          <w:b/>
          <w:sz w:val="44"/>
          <w:szCs w:val="32"/>
        </w:rPr>
      </w:pPr>
      <w:r>
        <w:rPr>
          <w:rFonts w:hint="eastAsia"/>
          <w:b/>
          <w:sz w:val="44"/>
          <w:szCs w:val="32"/>
        </w:rPr>
        <w:t xml:space="preserve">               黄志煌</w:t>
      </w:r>
    </w:p>
    <w:p>
      <w:pPr>
        <w:spacing w:line="360" w:lineRule="auto"/>
        <w:jc w:val="center"/>
        <w:rPr>
          <w:rFonts w:hint="default" w:eastAsia="宋体"/>
          <w:b/>
          <w:sz w:val="44"/>
          <w:szCs w:val="32"/>
          <w:lang w:val="en-US" w:eastAsia="zh-CN"/>
        </w:rPr>
      </w:pPr>
      <w:r>
        <w:rPr>
          <w:rFonts w:hint="eastAsia"/>
          <w:b/>
          <w:sz w:val="44"/>
          <w:szCs w:val="32"/>
        </w:rPr>
        <w:t xml:space="preserve">                  20</w:t>
      </w:r>
      <w:r>
        <w:rPr>
          <w:rFonts w:hint="eastAsia"/>
          <w:b/>
          <w:sz w:val="44"/>
          <w:szCs w:val="32"/>
          <w:lang w:val="en-US" w:eastAsia="zh-CN"/>
        </w:rPr>
        <w:t>24</w:t>
      </w:r>
      <w:r>
        <w:rPr>
          <w:rFonts w:hint="eastAsia"/>
          <w:b/>
          <w:sz w:val="44"/>
          <w:szCs w:val="32"/>
        </w:rPr>
        <w:t>.</w:t>
      </w:r>
      <w:r>
        <w:rPr>
          <w:rFonts w:hint="eastAsia"/>
          <w:b/>
          <w:sz w:val="44"/>
          <w:szCs w:val="32"/>
          <w:lang w:val="en-US" w:eastAsia="zh-CN"/>
        </w:rPr>
        <w:t>06</w:t>
      </w:r>
      <w:r>
        <w:rPr>
          <w:rFonts w:hint="eastAsia"/>
          <w:b/>
          <w:sz w:val="44"/>
          <w:szCs w:val="32"/>
        </w:rPr>
        <w:t>.</w:t>
      </w:r>
      <w:r>
        <w:rPr>
          <w:rFonts w:hint="eastAsia"/>
          <w:b/>
          <w:sz w:val="44"/>
          <w:szCs w:val="32"/>
          <w:lang w:val="en-US" w:eastAsia="zh-CN"/>
        </w:rPr>
        <w:t>11</w:t>
      </w:r>
    </w:p>
    <w:p>
      <w:pPr>
        <w:spacing w:line="360" w:lineRule="auto"/>
        <w:jc w:val="center"/>
        <w:rPr>
          <w:b/>
          <w:sz w:val="44"/>
          <w:szCs w:val="32"/>
        </w:rPr>
      </w:pPr>
    </w:p>
    <w:p>
      <w:pPr>
        <w:spacing w:line="360" w:lineRule="auto"/>
        <w:jc w:val="center"/>
        <w:rPr>
          <w:rFonts w:hint="eastAsia"/>
          <w:b/>
          <w:sz w:val="44"/>
          <w:szCs w:val="32"/>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rPr>
          <w:b/>
          <w:sz w:val="44"/>
          <w:szCs w:val="32"/>
        </w:rPr>
      </w:pPr>
      <w:r>
        <w:rPr>
          <w:rFonts w:hint="eastAsia"/>
          <w:b/>
          <w:sz w:val="44"/>
          <w:szCs w:val="32"/>
        </w:rPr>
        <w:t>目  录</w:t>
      </w:r>
    </w:p>
    <w:p>
      <w:pPr>
        <w:spacing w:line="480" w:lineRule="auto"/>
        <w:rPr>
          <w:rFonts w:ascii="宋体" w:hAnsi="宋体"/>
          <w:b/>
          <w:sz w:val="30"/>
        </w:rPr>
      </w:pPr>
    </w:p>
    <w:p>
      <w:pPr>
        <w:spacing w:line="600" w:lineRule="auto"/>
        <w:rPr>
          <w:rFonts w:ascii="宋体" w:hAnsi="宋体"/>
          <w:b/>
          <w:sz w:val="32"/>
        </w:rPr>
      </w:pPr>
      <w:r>
        <w:rPr>
          <w:rFonts w:hint="eastAsia" w:ascii="宋体" w:hAnsi="宋体"/>
          <w:b/>
          <w:sz w:val="32"/>
        </w:rPr>
        <w:t>一、任务来源及编制过程</w:t>
      </w:r>
    </w:p>
    <w:p>
      <w:pPr>
        <w:spacing w:line="600" w:lineRule="auto"/>
        <w:rPr>
          <w:rFonts w:ascii="宋体" w:hAnsi="宋体"/>
          <w:b/>
          <w:sz w:val="32"/>
        </w:rPr>
      </w:pPr>
      <w:r>
        <w:rPr>
          <w:rFonts w:hint="eastAsia" w:ascii="宋体" w:hAnsi="宋体"/>
          <w:b/>
          <w:sz w:val="32"/>
        </w:rPr>
        <w:t>二、编制单位的已有工作基础</w:t>
      </w:r>
    </w:p>
    <w:p>
      <w:pPr>
        <w:spacing w:line="600" w:lineRule="auto"/>
        <w:rPr>
          <w:rFonts w:ascii="宋体" w:hAnsi="宋体"/>
          <w:b/>
          <w:sz w:val="32"/>
        </w:rPr>
      </w:pPr>
      <w:r>
        <w:rPr>
          <w:rFonts w:hint="eastAsia" w:ascii="宋体" w:hAnsi="宋体"/>
          <w:b/>
          <w:sz w:val="32"/>
        </w:rPr>
        <w:t>三、国内外气溶胶稀释器的技术现状</w:t>
      </w:r>
    </w:p>
    <w:p>
      <w:pPr>
        <w:spacing w:line="600" w:lineRule="auto"/>
        <w:rPr>
          <w:rFonts w:ascii="宋体" w:hAnsi="宋体"/>
          <w:b/>
          <w:sz w:val="32"/>
        </w:rPr>
      </w:pPr>
      <w:r>
        <w:rPr>
          <w:rFonts w:hint="eastAsia" w:ascii="宋体" w:hAnsi="宋体"/>
          <w:b/>
          <w:sz w:val="32"/>
        </w:rPr>
        <w:t>四、制订规范主要的参考资料和依据</w:t>
      </w:r>
    </w:p>
    <w:p>
      <w:pPr>
        <w:spacing w:line="600" w:lineRule="auto"/>
        <w:rPr>
          <w:rFonts w:ascii="宋体" w:hAnsi="宋体"/>
          <w:b/>
          <w:sz w:val="32"/>
        </w:rPr>
      </w:pPr>
      <w:r>
        <w:rPr>
          <w:rFonts w:hint="eastAsia" w:ascii="宋体" w:hAnsi="宋体"/>
          <w:b/>
          <w:sz w:val="32"/>
        </w:rPr>
        <w:t>五、规范的主要内容</w:t>
      </w:r>
    </w:p>
    <w:p>
      <w:pPr>
        <w:spacing w:line="600" w:lineRule="auto"/>
        <w:rPr>
          <w:rFonts w:ascii="宋体" w:hAnsi="宋体"/>
          <w:b/>
          <w:sz w:val="32"/>
        </w:rPr>
      </w:pPr>
    </w:p>
    <w:p>
      <w:pPr>
        <w:ind w:firstLine="315" w:firstLineChars="150"/>
      </w:pPr>
    </w:p>
    <w:p/>
    <w:p/>
    <w:p/>
    <w:p/>
    <w:p/>
    <w:p/>
    <w:p/>
    <w:p/>
    <w:p/>
    <w:p/>
    <w:p/>
    <w:p/>
    <w:p/>
    <w:p/>
    <w:p/>
    <w:p/>
    <w:p/>
    <w:p/>
    <w:p/>
    <w:p/>
    <w:p/>
    <w:p/>
    <w:p/>
    <w:p/>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编制说明</w:t>
      </w:r>
    </w:p>
    <w:p>
      <w:pPr>
        <w:spacing w:line="360" w:lineRule="auto"/>
        <w:jc w:val="center"/>
        <w:rPr>
          <w:rFonts w:ascii="宋体" w:hAnsi="宋体"/>
          <w:b/>
          <w:sz w:val="44"/>
          <w:szCs w:val="36"/>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b/>
          <w:sz w:val="32"/>
          <w:szCs w:val="32"/>
        </w:rPr>
      </w:pPr>
      <w:r>
        <w:rPr>
          <w:rFonts w:hint="eastAsia" w:ascii="黑体" w:hAnsi="黑体" w:eastAsia="黑体" w:cs="黑体"/>
          <w:b/>
          <w:sz w:val="32"/>
          <w:szCs w:val="32"/>
        </w:rPr>
        <w:t>一、任务来源及编制过程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压缩空气作为一种动力源和介质载体，广泛应用于石油、化工、冶金、电力、机械、轻工、纺织、汽车制造、电子、食品、医药、生化、国防、科研等各个行业。压缩空气的洁净度等级是设备安全使用和生产产品质量的重要保障。当前国际标准组织（ISO）已经发布了9项</w:t>
      </w:r>
      <w:r>
        <w:rPr>
          <w:rFonts w:hint="eastAsia" w:ascii="仿宋_GB2312" w:hAnsi="仿宋_GB2312" w:eastAsia="仿宋_GB2312" w:cs="仿宋_GB2312"/>
          <w:color w:val="auto"/>
          <w:sz w:val="32"/>
          <w:szCs w:val="32"/>
          <w:lang w:val="en-US" w:eastAsia="zh-CN"/>
        </w:rPr>
        <w:t>压缩气体质量的</w:t>
      </w:r>
      <w:r>
        <w:rPr>
          <w:rFonts w:hint="eastAsia" w:ascii="仿宋_GB2312" w:hAnsi="仿宋_GB2312" w:eastAsia="仿宋_GB2312" w:cs="仿宋_GB2312"/>
          <w:color w:val="auto"/>
          <w:sz w:val="32"/>
          <w:szCs w:val="32"/>
        </w:rPr>
        <w:t>国家标准（ISO8573-1～ISO8573-9），内容涉及压缩空气污染物和清洁度等级。国家标准GB/T 13277.1-2008《压缩空气第</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部分：污染物净化等级》中介绍，压缩空气中的主要的污染物是固体颗粒、水分和油，此三者污染物是衡量压缩空气洁净度等级的主要参数指标。如在工业喷涂领域，固体颗粒、水分、油被认为是涂料喷涂施工的三大天敌，由于它们的存在使涂膜不同程度地产生缩孔、杂质、泛白、气泡等缺陷，不仅影响外观质量，更重要的是降低涂膜的致密程度，加速了轨道车辆车体的锈蚀速度；在医用高压氧舱中，舱体气体的纯净度是保证氧舱治疗环境的必要条件，特种设备安全技术规范中TSG 24—2015《氧舱安全技术监察规程》中，明确要求压缩空气中碳氢化合物（含油量）、含水量及颗粒物质量指标和技术等级；在制药领域，压缩气体是药品生产中的一个主要动力源，它贯穿于发酵、结晶、干燥、过滤等流程之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国家食品药品监督管理局组织编写的《药品生产验证指南 (2003)》</w:t>
      </w:r>
      <w:r>
        <w:rPr>
          <w:rFonts w:hint="eastAsia" w:ascii="仿宋_GB2312" w:hAnsi="仿宋_GB2312" w:eastAsia="仿宋_GB2312" w:cs="仿宋_GB2312"/>
          <w:color w:val="auto"/>
          <w:sz w:val="32"/>
          <w:szCs w:val="32"/>
          <w:lang w:val="en-US" w:eastAsia="zh-CN"/>
        </w:rPr>
        <w:t>提出</w:t>
      </w:r>
      <w:r>
        <w:rPr>
          <w:rFonts w:hint="eastAsia" w:ascii="仿宋_GB2312" w:hAnsi="仿宋_GB2312" w:eastAsia="仿宋_GB2312" w:cs="仿宋_GB2312"/>
          <w:color w:val="auto"/>
          <w:sz w:val="32"/>
          <w:szCs w:val="32"/>
        </w:rPr>
        <w:t>要对与药品直接接触的压缩空气等进行净化处理，符合生产要求。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heme="minorEastAsia" w:hAnsiTheme="minorEastAsia" w:eastAsiaTheme="minorEastAsia"/>
          <w:sz w:val="28"/>
          <w:szCs w:val="24"/>
        </w:rPr>
      </w:pPr>
      <w:r>
        <w:rPr>
          <w:rFonts w:hint="eastAsia" w:ascii="仿宋_GB2312" w:hAnsi="仿宋_GB2312" w:eastAsia="仿宋_GB2312" w:cs="仿宋_GB2312"/>
          <w:color w:val="auto"/>
          <w:sz w:val="32"/>
          <w:szCs w:val="32"/>
        </w:rPr>
        <w:t>压缩空气质量测量仪是测量压缩空气中主要仪器，它主要包含测量压缩空气</w:t>
      </w:r>
      <w:r>
        <w:rPr>
          <w:rFonts w:hint="eastAsia" w:ascii="仿宋_GB2312" w:hAnsi="仿宋_GB2312" w:eastAsia="仿宋_GB2312" w:cs="仿宋_GB2312"/>
          <w:color w:val="auto"/>
          <w:sz w:val="32"/>
          <w:szCs w:val="32"/>
          <w:lang w:val="en-US" w:eastAsia="zh-CN"/>
        </w:rPr>
        <w:t>质量</w:t>
      </w:r>
      <w:r>
        <w:rPr>
          <w:rFonts w:hint="eastAsia" w:ascii="仿宋_GB2312" w:hAnsi="仿宋_GB2312" w:eastAsia="仿宋_GB2312" w:cs="仿宋_GB2312"/>
          <w:color w:val="auto"/>
          <w:sz w:val="32"/>
          <w:szCs w:val="32"/>
        </w:rPr>
        <w:t>中颗粒物数量浓度、水分浓度、温度和含油量等，测量范围为：颗粒物粒径：0.1μm＜d≤5.0μm；含水量：0～3000mg/Nm</w:t>
      </w:r>
      <w:r>
        <w:rPr>
          <w:rFonts w:hint="eastAsia" w:ascii="仿宋_GB2312" w:hAnsi="仿宋_GB2312" w:eastAsia="仿宋_GB2312" w:cs="仿宋_GB2312"/>
          <w:color w:val="auto"/>
          <w:sz w:val="32"/>
          <w:szCs w:val="32"/>
          <w:vertAlign w:val="superscript"/>
        </w:rPr>
        <w:t>3</w:t>
      </w:r>
      <w:r>
        <w:rPr>
          <w:rFonts w:hint="eastAsia" w:ascii="仿宋_GB2312" w:hAnsi="仿宋_GB2312" w:eastAsia="仿宋_GB2312" w:cs="仿宋_GB2312"/>
          <w:color w:val="auto"/>
          <w:sz w:val="32"/>
          <w:szCs w:val="32"/>
        </w:rPr>
        <w:t>；温度：0℃～50℃；含油量为0.1mg/m</w:t>
      </w:r>
      <w:r>
        <w:rPr>
          <w:rFonts w:hint="eastAsia" w:ascii="仿宋_GB2312" w:hAnsi="仿宋_GB2312" w:eastAsia="仿宋_GB2312" w:cs="仿宋_GB2312"/>
          <w:color w:val="auto"/>
          <w:sz w:val="32"/>
          <w:szCs w:val="32"/>
          <w:vertAlign w:val="superscript"/>
        </w:rPr>
        <w:t>3</w:t>
      </w:r>
      <w:r>
        <w:rPr>
          <w:rFonts w:hint="eastAsia" w:ascii="仿宋_GB2312" w:hAnsi="仿宋_GB2312" w:eastAsia="仿宋_GB2312" w:cs="仿宋_GB2312"/>
          <w:color w:val="auto"/>
          <w:sz w:val="32"/>
          <w:szCs w:val="32"/>
        </w:rPr>
        <w:t>～5 mg/m</w:t>
      </w:r>
      <w:r>
        <w:rPr>
          <w:rFonts w:hint="eastAsia" w:ascii="仿宋_GB2312" w:hAnsi="仿宋_GB2312" w:eastAsia="仿宋_GB2312" w:cs="仿宋_GB2312"/>
          <w:color w:val="auto"/>
          <w:sz w:val="32"/>
          <w:szCs w:val="32"/>
          <w:vertAlign w:val="superscript"/>
        </w:rPr>
        <w:t>3</w:t>
      </w:r>
      <w:r>
        <w:rPr>
          <w:rFonts w:hint="eastAsia" w:ascii="仿宋_GB2312" w:hAnsi="仿宋_GB2312" w:eastAsia="仿宋_GB2312" w:cs="仿宋_GB2312"/>
          <w:color w:val="auto"/>
          <w:sz w:val="32"/>
          <w:szCs w:val="32"/>
        </w:rPr>
        <w:t>。由于仪器制造技术的差异、使用中仪器光学系统及检测电路系统老化等变化，仪器的测量结果不尽相同，甚至存在较大的偏差。因此，为实现上述领域内计量测量的准确、可靠、一致，压缩空气质量测量仪量值溯源体系的建立和校准体系的研究则显得尤为重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目前主要起草福建省计量科学研究联合中国计量科学研究院于20</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初</w:t>
      </w:r>
      <w:r>
        <w:rPr>
          <w:rFonts w:hint="eastAsia" w:ascii="仿宋_GB2312" w:hAnsi="仿宋_GB2312" w:eastAsia="仿宋_GB2312" w:cs="仿宋_GB2312"/>
          <w:color w:val="auto"/>
          <w:sz w:val="32"/>
          <w:szCs w:val="32"/>
        </w:rPr>
        <w:t>提出制定</w:t>
      </w:r>
      <w:r>
        <w:rPr>
          <w:rFonts w:hint="eastAsia" w:ascii="仿宋_GB2312" w:hAnsi="仿宋_GB2312" w:eastAsia="仿宋_GB2312" w:cs="仿宋_GB2312"/>
          <w:color w:val="auto"/>
          <w:sz w:val="32"/>
          <w:szCs w:val="32"/>
          <w:lang w:val="en-US" w:eastAsia="zh-CN"/>
        </w:rPr>
        <w:t>压缩空气</w:t>
      </w:r>
      <w:r>
        <w:rPr>
          <w:rFonts w:hint="eastAsia" w:ascii="仿宋_GB2312" w:hAnsi="仿宋_GB2312" w:eastAsia="仿宋_GB2312" w:cs="仿宋_GB2312"/>
          <w:color w:val="auto"/>
          <w:sz w:val="32"/>
          <w:szCs w:val="32"/>
        </w:rPr>
        <w:t>计量校准规范的建议，经全国新材料与纳米计量技术委员会审议上报市场监督管理总局，20</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年得到国家市场监督总局批复（市监</w:t>
      </w:r>
      <w:r>
        <w:rPr>
          <w:rFonts w:hint="eastAsia" w:ascii="仿宋_GB2312" w:hAnsi="仿宋_GB2312" w:eastAsia="仿宋_GB2312" w:cs="仿宋_GB2312"/>
          <w:color w:val="auto"/>
          <w:sz w:val="32"/>
          <w:szCs w:val="32"/>
          <w:lang w:val="en-US" w:eastAsia="zh-CN"/>
        </w:rPr>
        <w:t>计</w:t>
      </w:r>
      <w:r>
        <w:rPr>
          <w:rFonts w:hint="eastAsia" w:ascii="仿宋_GB2312" w:hAnsi="仿宋_GB2312" w:eastAsia="仿宋_GB2312" w:cs="仿宋_GB2312"/>
          <w:color w:val="auto"/>
          <w:sz w:val="32"/>
          <w:szCs w:val="32"/>
        </w:rPr>
        <w:t>量</w:t>
      </w:r>
      <w:r>
        <w:rPr>
          <w:rFonts w:hint="eastAsia" w:ascii="仿宋_GB2312" w:hAnsi="仿宋_GB2312" w:eastAsia="仿宋_GB2312" w:cs="仿宋_GB2312"/>
          <w:color w:val="auto"/>
          <w:sz w:val="32"/>
          <w:szCs w:val="32"/>
          <w:lang w:val="en-US" w:eastAsia="zh-CN"/>
        </w:rPr>
        <w:t>发</w:t>
      </w: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0号）并下达了制订任务，要求于20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rPr>
        <w:t>年第四季度完成报批。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项目承接单位福建省计量科学研究院于20</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月成立规</w:t>
      </w:r>
      <w:r>
        <w:rPr>
          <w:rFonts w:hint="eastAsia" w:ascii="仿宋_GB2312" w:hAnsi="仿宋_GB2312" w:eastAsia="仿宋_GB2312" w:cs="仿宋_GB2312"/>
          <w:color w:val="auto"/>
          <w:sz w:val="32"/>
          <w:szCs w:val="32"/>
          <w:lang w:val="en-US" w:eastAsia="zh-CN"/>
        </w:rPr>
        <w:t>范</w:t>
      </w:r>
      <w:r>
        <w:rPr>
          <w:rFonts w:hint="eastAsia" w:ascii="仿宋_GB2312" w:hAnsi="仿宋_GB2312" w:eastAsia="仿宋_GB2312" w:cs="仿宋_GB2312"/>
          <w:color w:val="auto"/>
          <w:sz w:val="32"/>
          <w:szCs w:val="32"/>
        </w:rPr>
        <w:t>编制组，20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月形成“</w:t>
      </w:r>
      <w:r>
        <w:rPr>
          <w:rFonts w:hint="eastAsia" w:ascii="仿宋_GB2312" w:hAnsi="仿宋_GB2312" w:eastAsia="仿宋_GB2312" w:cs="仿宋_GB2312"/>
          <w:color w:val="auto"/>
          <w:sz w:val="32"/>
          <w:szCs w:val="32"/>
          <w:lang w:val="en-US" w:eastAsia="zh-CN"/>
        </w:rPr>
        <w:t>压缩空气质量</w:t>
      </w:r>
      <w:r>
        <w:rPr>
          <w:rFonts w:hint="eastAsia" w:ascii="仿宋_GB2312" w:hAnsi="仿宋_GB2312" w:eastAsia="仿宋_GB2312" w:cs="仿宋_GB2312"/>
          <w:color w:val="auto"/>
          <w:sz w:val="32"/>
          <w:szCs w:val="32"/>
        </w:rPr>
        <w:t>校准规范草稿”。之后，编制组分别与国内外厂家、计量机构人员沟通对规范草稿进行了完善，并形成征求意见稿。</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b/>
          <w:sz w:val="32"/>
          <w:szCs w:val="32"/>
        </w:rPr>
      </w:pPr>
      <w:r>
        <w:rPr>
          <w:rFonts w:hint="eastAsia" w:ascii="黑体" w:hAnsi="黑体" w:eastAsia="黑体" w:cs="黑体"/>
          <w:b/>
          <w:sz w:val="32"/>
          <w:szCs w:val="32"/>
        </w:rPr>
        <w:t>二、编制单位的已有工作基础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承担单位福建省计量科学研究院是省级计量校准机构，配有纳米颗粒计量实验室、理化实验室、环境分析化学实验室、气体流量校准实验室，实验室内配备有百级洁净间、标准粒子发生装置、露点仪校准装置、</w:t>
      </w:r>
      <w:r>
        <w:rPr>
          <w:rFonts w:hint="default" w:ascii="仿宋_GB2312" w:hAnsi="仿宋_GB2312" w:eastAsia="仿宋_GB2312" w:cs="仿宋_GB2312"/>
          <w:color w:val="auto"/>
          <w:sz w:val="32"/>
          <w:szCs w:val="32"/>
          <w:lang w:val="en-US" w:eastAsia="zh-CN"/>
        </w:rPr>
        <w:t>温湿度环境试验箱</w:t>
      </w:r>
      <w:r>
        <w:rPr>
          <w:rFonts w:hint="eastAsia" w:ascii="仿宋_GB2312" w:hAnsi="仿宋_GB2312" w:eastAsia="仿宋_GB2312" w:cs="仿宋_GB2312"/>
          <w:color w:val="auto"/>
          <w:sz w:val="32"/>
          <w:szCs w:val="32"/>
          <w:lang w:val="en-US" w:eastAsia="zh-CN"/>
        </w:rPr>
        <w:t>、尘埃粒子计数器、凝结核粒子计数器、扫描电迁移率颗粒物粒径谱仪、红外光谱仪、精密天平、电子显微镜、皂膜流量计、钟罩式气体流量计标准装置等大型仪器设备。且已经完成多项国家市场监督总局、福建省科技厅、福建省市场监督局等多项环境监测及溯源领域相关科研课题的研究，为开展压缩空气计量校准规范提供基础设备和技术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参与起草单位中国计量科学研究院环境所建有激光粒子计数器计量标准、凝结核粒子计数器计量标准和PM2.5质量浓度测量仪计量标准，并研制得到20余种微粒粒度标准物质，使得颗粒粒径、浓度测量结果可溯源至国家计量技术标准。</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b/>
          <w:sz w:val="32"/>
          <w:szCs w:val="32"/>
        </w:rPr>
      </w:pPr>
      <w:r>
        <w:rPr>
          <w:rFonts w:hint="eastAsia" w:ascii="黑体" w:hAnsi="黑体" w:eastAsia="黑体" w:cs="黑体"/>
          <w:b/>
          <w:sz w:val="32"/>
          <w:szCs w:val="32"/>
          <w:lang w:val="en-US" w:eastAsia="zh-CN"/>
        </w:rPr>
        <w:t>三</w:t>
      </w:r>
      <w:r>
        <w:rPr>
          <w:rFonts w:hint="eastAsia" w:ascii="黑体" w:hAnsi="黑体" w:eastAsia="黑体" w:cs="黑体"/>
          <w:b/>
          <w:sz w:val="32"/>
          <w:szCs w:val="32"/>
        </w:rPr>
        <w:t>、国内外</w:t>
      </w:r>
      <w:r>
        <w:rPr>
          <w:rFonts w:hint="eastAsia" w:ascii="黑体" w:hAnsi="黑体" w:eastAsia="黑体" w:cs="黑体"/>
          <w:b/>
          <w:sz w:val="32"/>
          <w:szCs w:val="32"/>
          <w:lang w:val="en-US" w:eastAsia="zh-CN"/>
        </w:rPr>
        <w:t>压缩空气质量测量仪</w:t>
      </w:r>
      <w:r>
        <w:rPr>
          <w:rFonts w:hint="eastAsia" w:ascii="黑体" w:hAnsi="黑体" w:eastAsia="黑体" w:cs="黑体"/>
          <w:b/>
          <w:sz w:val="32"/>
          <w:szCs w:val="32"/>
        </w:rPr>
        <w:t>的技术现状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项目组收集了市场上压缩空气质量测量仪器和技术指标，如表1所示，压缩空气质量测量仪按照其测量方式可分为取样管法、在线测量法或其它测量方法。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取样管法是指测量仪器通过调压装置接入压缩气源，调节压力至满足仪器使用条件，采样通道流入对应流量的气体，各采样通道接入所对应的检测管，压缩气源与检测管内部的试剂反应，产生颜色变化，测量时间到后，在检测管上直接读取杂质含量值。</w:t>
      </w:r>
    </w:p>
    <w:p>
      <w:pPr>
        <w:tabs>
          <w:tab w:val="left" w:pos="710"/>
          <w:tab w:val="left" w:pos="860"/>
        </w:tabs>
        <w:snapToGrid w:val="0"/>
        <w:spacing w:line="360" w:lineRule="auto"/>
        <w:ind w:firstLine="480" w:firstLineChars="200"/>
        <w:rPr>
          <w:rFonts w:hint="eastAsia" w:ascii="宋体" w:hAnsi="宋体"/>
          <w:color w:val="000000" w:themeColor="text1"/>
          <w:sz w:val="24"/>
          <w14:textFill>
            <w14:solidFill>
              <w14:schemeClr w14:val="tx1"/>
            </w14:solidFill>
          </w14:textFill>
        </w:rPr>
      </w:pPr>
    </w:p>
    <w:p>
      <w:pPr>
        <w:tabs>
          <w:tab w:val="left" w:pos="710"/>
          <w:tab w:val="left" w:pos="860"/>
        </w:tabs>
        <w:snapToGrid w:val="0"/>
        <w:spacing w:line="360" w:lineRule="auto"/>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object>
          <v:shape id="_x0000_i1025" o:spt="75" type="#_x0000_t75" style="height:31.5pt;width:357.75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p>
    <w:p>
      <w:pPr>
        <w:tabs>
          <w:tab w:val="left" w:pos="710"/>
          <w:tab w:val="left" w:pos="860"/>
        </w:tabs>
        <w:snapToGrid w:val="0"/>
        <w:spacing w:line="360" w:lineRule="auto"/>
        <w:ind w:firstLine="440" w:firstLineChars="200"/>
        <w:jc w:val="center"/>
        <w:rPr>
          <w:rFonts w:hint="eastAsia" w:ascii="宋体" w:hAnsi="宋体"/>
          <w:color w:val="000000" w:themeColor="text1"/>
          <w:sz w:val="22"/>
          <w:szCs w:val="22"/>
          <w:lang w:val="en-US" w:eastAsia="zh-CN"/>
          <w14:textFill>
            <w14:solidFill>
              <w14:schemeClr w14:val="tx1"/>
            </w14:solidFill>
          </w14:textFill>
        </w:rPr>
      </w:pPr>
    </w:p>
    <w:p>
      <w:pPr>
        <w:snapToGrid/>
        <w:spacing w:line="360" w:lineRule="auto"/>
        <w:ind w:firstLine="0" w:firstLineChars="0"/>
        <w:jc w:val="center"/>
        <w:rPr>
          <w:rFonts w:hint="eastAsia" w:ascii="黑体" w:hAnsi="黑体" w:eastAsia="黑体"/>
          <w:color w:val="0D0D0D" w:themeColor="text1" w:themeTint="F2"/>
          <w:sz w:val="21"/>
          <w:szCs w:val="21"/>
          <w:lang w:val="en-US"/>
          <w14:textFill>
            <w14:solidFill>
              <w14:schemeClr w14:val="tx1">
                <w14:lumMod w14:val="95000"/>
                <w14:lumOff w14:val="5000"/>
              </w14:schemeClr>
            </w14:solidFill>
          </w14:textFill>
        </w:rPr>
      </w:pPr>
      <w:r>
        <w:rPr>
          <w:rFonts w:hint="eastAsia" w:ascii="黑体" w:hAnsi="黑体" w:eastAsia="黑体"/>
          <w:color w:val="0D0D0D" w:themeColor="text1" w:themeTint="F2"/>
          <w:sz w:val="21"/>
          <w:szCs w:val="21"/>
          <w:lang w:val="en-US" w:eastAsia="zh-CN"/>
          <w14:textFill>
            <w14:solidFill>
              <w14:schemeClr w14:val="tx1">
                <w14:lumMod w14:val="95000"/>
                <w14:lumOff w14:val="5000"/>
              </w14:schemeClr>
            </w14:solidFill>
          </w14:textFill>
        </w:rPr>
        <w:t>图1 取样管法测量原理图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在线测量法是将压缩气源通过采样口直接接入仪器，仪器气路中内设有压力调节装置和流量控制单元，将被测量压缩气源调节到满足传感器工作条件的压力和流量范围，传感器测量值转化成数字信号在终端显示。</w:t>
      </w:r>
    </w:p>
    <w:p>
      <w:pPr>
        <w:tabs>
          <w:tab w:val="left" w:pos="710"/>
          <w:tab w:val="left" w:pos="860"/>
        </w:tabs>
        <w:snapToGrid w:val="0"/>
        <w:spacing w:line="360" w:lineRule="auto"/>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object>
          <v:shape id="_x0000_i1026" o:spt="75" type="#_x0000_t75" style="height:82.5pt;width:310.5pt;" o:ole="t" filled="f" o:preferrelative="t" stroked="f" coordsize="21600,21600">
            <v:path/>
            <v:fill on="f" focussize="0,0"/>
            <v:stroke on="f"/>
            <v:imagedata r:id="rId9" o:title=""/>
            <o:lock v:ext="edit" aspectratio="f"/>
            <w10:wrap type="none"/>
            <w10:anchorlock/>
          </v:shape>
          <o:OLEObject Type="Embed" ProgID="Visio.Drawing.11" ShapeID="_x0000_i1026" DrawAspect="Content" ObjectID="_1468075726" r:id="rId8">
            <o:LockedField>false</o:LockedField>
          </o:OLEObject>
        </w:object>
      </w:r>
    </w:p>
    <w:p>
      <w:pPr>
        <w:tabs>
          <w:tab w:val="left" w:pos="710"/>
          <w:tab w:val="left" w:pos="860"/>
        </w:tabs>
        <w:snapToGrid w:val="0"/>
        <w:spacing w:line="360" w:lineRule="auto"/>
        <w:ind w:firstLine="480" w:firstLineChars="200"/>
        <w:jc w:val="center"/>
        <w:rPr>
          <w:rFonts w:hint="eastAsia" w:ascii="宋体" w:hAnsi="宋体"/>
          <w:color w:val="000000" w:themeColor="text1"/>
          <w:sz w:val="24"/>
          <w:lang w:val="en-US" w:eastAsia="zh-CN"/>
          <w14:textFill>
            <w14:solidFill>
              <w14:schemeClr w14:val="tx1"/>
            </w14:solidFill>
          </w14:textFill>
        </w:rPr>
      </w:pPr>
    </w:p>
    <w:p>
      <w:pPr>
        <w:snapToGrid/>
        <w:spacing w:line="360" w:lineRule="auto"/>
        <w:ind w:firstLine="0" w:firstLineChars="0"/>
        <w:jc w:val="center"/>
        <w:rPr>
          <w:rFonts w:hint="eastAsia" w:ascii="仿宋_GB2312" w:hAnsi="仿宋_GB2312" w:eastAsia="仿宋_GB2312" w:cs="仿宋_GB2312"/>
          <w:color w:val="auto"/>
          <w:sz w:val="32"/>
          <w:szCs w:val="32"/>
          <w:lang w:val="en-US" w:eastAsia="zh-CN"/>
        </w:rPr>
      </w:pPr>
      <w:r>
        <w:rPr>
          <w:rFonts w:hint="eastAsia" w:ascii="黑体" w:hAnsi="黑体" w:eastAsia="黑体"/>
          <w:color w:val="0D0D0D" w:themeColor="text1" w:themeTint="F2"/>
          <w:sz w:val="21"/>
          <w:szCs w:val="21"/>
          <w:lang w:val="en-US" w:eastAsia="zh-CN"/>
          <w14:textFill>
            <w14:solidFill>
              <w14:schemeClr w14:val="tx1">
                <w14:lumMod w14:val="95000"/>
                <w14:lumOff w14:val="5000"/>
              </w14:schemeClr>
            </w14:solidFill>
          </w14:textFill>
        </w:rPr>
        <w:t>图2 在线测量法原理图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目前市场压缩空气质量的测量仪器有很多，如德国德尔格公司生产LB-KY4X型压缩空气质量检测仪，适合适用于高压范围的呼吸空气纯度测量，可以确认各种潜在污染物的数量，如压缩空气中的颗粒、水蒸气、油以及其它污染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1、颗粒的测量方法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在ISO8573.4-2001和GB/T 13277.4-2015 压缩空气 第4部分固体颗粒测量方法中提到了压缩空气中可能污染的液体、活性和非活性颗粒，</w:t>
      </w:r>
      <w:r>
        <w:rPr>
          <w:rFonts w:hint="default" w:ascii="仿宋_GB2312" w:hAnsi="仿宋_GB2312" w:eastAsia="仿宋_GB2312" w:cs="仿宋_GB2312"/>
          <w:color w:val="auto"/>
          <w:sz w:val="32"/>
          <w:szCs w:val="32"/>
          <w:lang w:val="en-US" w:eastAsia="zh-CN"/>
        </w:rPr>
        <w:t>详细规定了压缩空气中颗粒物的测量和限值，根据颗粒尺寸分为不同的通道，如0.1 &lt; d ≤ 0.5 µm, 0.5 &lt; d ≤ 1.0 µm, 和 1.0 &lt; d ≤ 5.0 µm，每个尺寸通道都有自己定义的限值。</w:t>
      </w:r>
      <w:r>
        <w:rPr>
          <w:rFonts w:hint="eastAsia" w:ascii="仿宋_GB2312" w:hAnsi="仿宋_GB2312" w:eastAsia="仿宋_GB2312" w:cs="仿宋_GB2312"/>
          <w:color w:val="auto"/>
          <w:sz w:val="32"/>
          <w:szCs w:val="32"/>
          <w:lang w:val="en-US" w:eastAsia="zh-CN"/>
        </w:rPr>
        <w:t>基于颗粒尺寸范围的纯度等级的测量方法中常用有</w:t>
      </w:r>
      <w:r>
        <w:rPr>
          <w:rFonts w:hint="default" w:ascii="仿宋_GB2312" w:hAnsi="仿宋_GB2312" w:eastAsia="仿宋_GB2312" w:cs="仿宋_GB2312"/>
          <w:color w:val="auto"/>
          <w:sz w:val="32"/>
          <w:szCs w:val="32"/>
          <w:lang w:val="en-US" w:eastAsia="zh-CN"/>
        </w:rPr>
        <w:t>重量分析、显微镜检查、</w:t>
      </w:r>
      <w:r>
        <w:rPr>
          <w:rFonts w:hint="eastAsia" w:ascii="仿宋_GB2312" w:hAnsi="仿宋_GB2312" w:eastAsia="仿宋_GB2312" w:cs="仿宋_GB2312"/>
          <w:color w:val="auto"/>
          <w:sz w:val="32"/>
          <w:szCs w:val="32"/>
          <w:lang w:val="en-US" w:eastAsia="zh-CN"/>
        </w:rPr>
        <w:t>凝结核粒子计数器、</w:t>
      </w:r>
      <w:r>
        <w:rPr>
          <w:rFonts w:hint="default" w:ascii="仿宋_GB2312" w:hAnsi="仿宋_GB2312" w:eastAsia="仿宋_GB2312" w:cs="仿宋_GB2312"/>
          <w:color w:val="auto"/>
          <w:sz w:val="32"/>
          <w:szCs w:val="32"/>
          <w:lang w:val="en-US" w:eastAsia="zh-CN"/>
        </w:rPr>
        <w:t>激光粒子计数器(LPC)和扫描电子显微镜(SEM)进行分析</w:t>
      </w:r>
      <w:r>
        <w:rPr>
          <w:rFonts w:hint="eastAsia" w:ascii="仿宋_GB2312" w:hAnsi="仿宋_GB2312" w:eastAsia="仿宋_GB2312" w:cs="仿宋_GB2312"/>
          <w:color w:val="auto"/>
          <w:sz w:val="32"/>
          <w:szCs w:val="32"/>
          <w:lang w:val="en-US" w:eastAsia="zh-CN"/>
        </w:rPr>
        <w:t>等</w:t>
      </w:r>
      <w:r>
        <w:rPr>
          <w:rFonts w:hint="default" w:ascii="仿宋_GB2312" w:hAnsi="仿宋_GB2312" w:eastAsia="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重量分析是按质量对粒子进行分析。用滤膜上取样，压缩空气通过滤膜，所有颗粒都被捕捉到滤膜上。然后将过滤器运送至第三方实验室并称重。由于测量过程中，滤膜会将压缩气体中所有颗粒不分大小，很难区别颗粒大小等级，且测量时间长，不适合实验室校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扫描电子显微镜(SEM)</w:t>
      </w:r>
      <w:r>
        <w:rPr>
          <w:rFonts w:hint="eastAsia" w:ascii="仿宋_GB2312" w:hAnsi="仿宋_GB2312" w:eastAsia="仿宋_GB2312" w:cs="仿宋_GB2312"/>
          <w:color w:val="auto"/>
          <w:sz w:val="32"/>
          <w:szCs w:val="32"/>
          <w:lang w:val="en-US" w:eastAsia="zh-CN"/>
        </w:rPr>
        <w:t>和</w:t>
      </w:r>
      <w:r>
        <w:rPr>
          <w:rFonts w:hint="default" w:ascii="仿宋_GB2312" w:hAnsi="仿宋_GB2312" w:eastAsia="仿宋_GB2312" w:cs="仿宋_GB2312"/>
          <w:color w:val="auto"/>
          <w:sz w:val="32"/>
          <w:szCs w:val="32"/>
          <w:lang w:val="en-US" w:eastAsia="zh-CN"/>
        </w:rPr>
        <w:t>显微镜检查</w:t>
      </w:r>
      <w:r>
        <w:rPr>
          <w:rFonts w:hint="eastAsia" w:ascii="仿宋_GB2312" w:hAnsi="仿宋_GB2312" w:eastAsia="仿宋_GB2312" w:cs="仿宋_GB2312"/>
          <w:color w:val="auto"/>
          <w:sz w:val="32"/>
          <w:szCs w:val="32"/>
          <w:lang w:val="en-US" w:eastAsia="zh-CN"/>
        </w:rPr>
        <w:t>方法也是通过滤膜测量方法，将测量好的滤膜放入显微镜下，观察其气体单位时间体积中总颗粒大小和数量的计数，该方法同样对小颗粒同样难与观察，且测量时间长，对人的观察高，不适合实验室校准。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凝结核粒子计数器具体测量颗粒的浓度高、测量速度快，精度高，但其粒径一般是几纳米到1微米之间，且无法区分粒径大小。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hAnsi="宋体"/>
        </w:rPr>
      </w:pPr>
      <w:r>
        <w:rPr>
          <w:rFonts w:hint="eastAsia" w:ascii="仿宋_GB2312" w:hAnsi="仿宋_GB2312" w:eastAsia="仿宋_GB2312" w:cs="仿宋_GB2312"/>
          <w:color w:val="auto"/>
          <w:sz w:val="32"/>
          <w:szCs w:val="32"/>
          <w:lang w:val="en-US" w:eastAsia="zh-CN"/>
        </w:rPr>
        <w:t>激光尘埃粒子计数器可以测量空气中不同大小范围内的粒子数,其测量范围为0.1</w:t>
      </w:r>
      <w:r>
        <w:rPr>
          <w:rFonts w:hint="default" w:ascii="仿宋_GB2312" w:hAnsi="仿宋_GB2312" w:eastAsia="仿宋_GB2312" w:cs="仿宋_GB2312"/>
          <w:color w:val="auto"/>
          <w:sz w:val="32"/>
          <w:szCs w:val="32"/>
          <w:lang w:val="en-US" w:eastAsia="zh-CN"/>
        </w:rPr>
        <w:t>µm</w:t>
      </w:r>
      <w:r>
        <w:rPr>
          <w:rFonts w:hint="eastAsia" w:ascii="仿宋_GB2312" w:hAnsi="仿宋_GB2312" w:eastAsia="仿宋_GB2312" w:cs="仿宋_GB2312"/>
          <w:color w:val="auto"/>
          <w:sz w:val="32"/>
          <w:szCs w:val="32"/>
          <w:lang w:val="en-US" w:eastAsia="zh-CN"/>
        </w:rPr>
        <w:t>~5</w:t>
      </w:r>
      <w:r>
        <w:rPr>
          <w:rFonts w:hint="default" w:ascii="仿宋_GB2312" w:hAnsi="仿宋_GB2312" w:eastAsia="仿宋_GB2312" w:cs="仿宋_GB2312"/>
          <w:color w:val="auto"/>
          <w:sz w:val="32"/>
          <w:szCs w:val="32"/>
          <w:lang w:val="en-US" w:eastAsia="zh-CN"/>
        </w:rPr>
        <w:t>µm</w:t>
      </w:r>
      <w:r>
        <w:rPr>
          <w:rFonts w:hint="eastAsia" w:ascii="仿宋_GB2312" w:hAnsi="仿宋_GB2312" w:eastAsia="仿宋_GB2312" w:cs="仿宋_GB2312"/>
          <w:color w:val="auto"/>
          <w:sz w:val="32"/>
          <w:szCs w:val="32"/>
          <w:lang w:val="en-US" w:eastAsia="zh-CN"/>
        </w:rPr>
        <w:t>,能够压缩空气的粒径粒径重合，通过压缩空气通过一个高压扩散器，将压缩空气的压力调节到满足要求的范围，便可以分析此时压缩空气中存在的颗粒的大小和数量。且当前省级及以上院所一般都建立相应的颗粒溯源实验室，能够满足规范的快速实施。</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含水量的测量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压缩空气中的水分通常用相对湿度或者露点温度来表示。其中，相对湿度是指在特定温度下，空气中实际含有的水蒸气压力与最大可能的饱和水汽压力之比；露点温度是指使空气中的水汽部分达到饱和所需的温度，对于其它以非露点值（绝对湿度、重量比、体积比等）显示值，应将被检值换算成相应的示值。目前市场上空气含水量的检测主要有以下三种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rial" w:hAnsi="Arial" w:eastAsia="宋体" w:cs="Arial"/>
          <w:i w:val="0"/>
          <w:iCs w:val="0"/>
          <w:caps w:val="0"/>
          <w:color w:val="333333"/>
          <w:spacing w:val="0"/>
          <w:sz w:val="24"/>
          <w:szCs w:val="24"/>
          <w:shd w:val="clear" w:fill="FFFFFF"/>
        </w:rPr>
      </w:pPr>
      <w:r>
        <w:rPr>
          <w:rFonts w:hint="eastAsia" w:ascii="仿宋_GB2312" w:hAnsi="仿宋_GB2312" w:eastAsia="仿宋_GB2312" w:cs="仿宋_GB2312"/>
          <w:color w:val="auto"/>
          <w:sz w:val="32"/>
          <w:szCs w:val="32"/>
          <w:lang w:val="en-US" w:eastAsia="zh-CN"/>
        </w:rPr>
        <w:t>2.1 露点测量：露点测量是一种常用的方法，用于确定压缩空气中水分开始凝结的温度。这可以通过使用露点传感器或露点仪来实现。这些设备会测量空气中的温度和湿度，并计算出露点温度。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rial" w:hAnsi="Arial" w:eastAsia="宋体" w:cs="Arial"/>
          <w:i w:val="0"/>
          <w:iCs w:val="0"/>
          <w:caps w:val="0"/>
          <w:color w:val="333333"/>
          <w:spacing w:val="0"/>
          <w:sz w:val="24"/>
          <w:szCs w:val="24"/>
          <w:shd w:val="clear" w:fill="FFFFFF"/>
        </w:rPr>
      </w:pPr>
      <w:r>
        <w:rPr>
          <w:rFonts w:hint="eastAsia" w:ascii="仿宋_GB2312" w:hAnsi="仿宋_GB2312" w:eastAsia="仿宋_GB2312" w:cs="仿宋_GB2312"/>
          <w:color w:val="auto"/>
          <w:sz w:val="32"/>
          <w:szCs w:val="32"/>
          <w:lang w:val="en-US" w:eastAsia="zh-CN"/>
        </w:rPr>
        <w:t>2.2湿度传感器：湿度传感器可以直接测量压缩空气中的湿度或相对湿度。这些传感器通常基于电容、电阻或电化学原理工作，可以提供实时的湿度数据。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2.3水分检测管：水分检测管是一种化学物质，可以通过颜色变化来指示压缩空气中的水分含量。这些指示剂通常被放置在压缩空气系统中的管道或设备上，当水分超过一定阈值时，指示剂的颜色会发生变化，该方法测量原理简单高效，但是试剂只能一次使用，无法重复测量，且测量分辨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组综合分析市场上的水分测量方法，对于露点和湿度传感器测量方法使用湿度发生器提供稳定湿度点气源，用精密露点仪作为标准仪器的比较法对仪器的含水量传感器进行校准，对水分检测管测量法主要是依靠测量压缩气体流量示值的稳定性和重复性来保证测量的准确性。因此采用标准流量计进行流量校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3、含油量的测量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根据GB/T 13277.52-2019 压缩空气第5部分：油蒸气及有机溶剂测量方法中压缩空气含油量检测方法有多种，如光谱法、色谱法等，需要采用滤膜或者取样设备，然后到第三方实验室检测，该过程耗时耗力，且对取样精度高。在线的测量方法主要有油检测管法，油盒检测法，具有测量速度快，效率高，经济性等优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项目组根据目前市场压缩空气测仪的特点，结合目前检测实验的条件要求，规范编制过程中主要是针对在线测量方法进行校准，因此采用标准流量计进行流量示值误差和重复性的校准。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p>
    <w:p>
      <w:pPr>
        <w:spacing w:line="360" w:lineRule="auto"/>
        <w:ind w:firstLine="480" w:firstLineChars="200"/>
        <w:rPr>
          <w:bCs/>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tbl>
      <w:tblPr>
        <w:tblStyle w:val="10"/>
        <w:tblW w:w="1506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97"/>
        <w:gridCol w:w="1776"/>
        <w:gridCol w:w="1900"/>
        <w:gridCol w:w="1756"/>
        <w:gridCol w:w="2826"/>
        <w:gridCol w:w="3071"/>
        <w:gridCol w:w="19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jc w:val="center"/>
        </w:trPr>
        <w:tc>
          <w:tcPr>
            <w:tcW w:w="15063"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表1. 压缩空气质量测量仪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型号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厂家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测量参数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测量范围</w:t>
            </w:r>
          </w:p>
        </w:tc>
        <w:tc>
          <w:tcPr>
            <w:tcW w:w="30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测量精度</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工作压力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jc w:val="center"/>
        </w:trPr>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压缩空气质量检测仪</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LB-KY4X</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德国德尔格</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压缩空气中的一氧化碳、二氧化碳、水蒸气、油以及其它污染物</w:t>
            </w:r>
          </w:p>
        </w:tc>
        <w:tc>
          <w:tcPr>
            <w:tcW w:w="2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(主要根据取样管刻线)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流速: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油：4L/min;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CO2:0.2L/min;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水：4L/min;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水：20至100mg/m3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100到3000ppm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油：根据油检测盒的图像</w:t>
            </w:r>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检测管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油：极限值0.1mg/m3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CO2：500ppm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H2O  60ppm</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3-15 bar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0" w:hRule="atLeast"/>
          <w:jc w:val="center"/>
        </w:trPr>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压缩空气颗粒计数器</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PC 400</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德国 CS INSTRUMENTS</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满足ISO8573-1的压缩空气颗粒</w:t>
            </w:r>
          </w:p>
        </w:tc>
        <w:tc>
          <w:tcPr>
            <w:tcW w:w="2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流量28.3L/min,三个通道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颗粒尺寸：0.1μm-0.5μm,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颗粒尺寸：0.5μm-1.0μm,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颗粒尺寸：1.0μm-5.0μm,</w:t>
            </w:r>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配减压阀最高压力小于40bar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0" w:hRule="atLeast"/>
          <w:jc w:val="center"/>
        </w:trPr>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压缩空气残油量监测</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OIL CHECK 500</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德国CS</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残余油含量，单位为mg/m³</w:t>
            </w:r>
          </w:p>
        </w:tc>
        <w:tc>
          <w:tcPr>
            <w:tcW w:w="2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0,001--5 mg/m³ </w:t>
            </w:r>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（3-9）bar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jc w:val="center"/>
        </w:trPr>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激光颗粒计数器</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S130/S132</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希尔思仪表（深圳）有限公司</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测量压缩空气颗粒浓度/含尘量 </w:t>
            </w:r>
          </w:p>
        </w:tc>
        <w:tc>
          <w:tcPr>
            <w:tcW w:w="2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S130 环保型：0.3 &lt; d ≤ 5.0 μm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S132 专业版： 0.1 &lt; d ≤ 5.0 μm</w:t>
            </w:r>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S130: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d &gt; 0.3 μm时: 30 ... 70 %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d ≥ 0.45 μm时: 90 ... 110 %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S132: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d &gt; 0.1 μm时: 30 ... 70 %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d ≥ 0.3 μm时: 90 ... 110 %</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 ... 1.5 MPa(g)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油蒸气监测仪 – 测量压缩空气洁净度</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S120</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希尔思仪表（深圳）有限公司</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油蒸气、露点</w:t>
            </w:r>
          </w:p>
        </w:tc>
        <w:tc>
          <w:tcPr>
            <w:tcW w:w="2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油蒸气 ：0.001 ... 5.000mg/m3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露点：-100 ... +20°C Td  </w:t>
            </w:r>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油蒸气：5%读数值 ± 0.003 mg/m3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露点：±1°C Td (0 ... 20°C Td)±2°C Td (-70 ... 0°C Td)±3°C Td (-100 ... -70°C Td)</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 ... 15 bar(g) (更高压力需定制)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0.5 ... 2 bar(g)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0" w:hRule="atLeast"/>
          <w:jc w:val="center"/>
        </w:trPr>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便携式压缩空气洁净度分析仪</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S600</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希尔思仪表（深圳）有限公司</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颗粒、露点、油蒸气</w:t>
            </w:r>
          </w:p>
        </w:tc>
        <w:tc>
          <w:tcPr>
            <w:tcW w:w="2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颗粒：0.1 &lt; d ≤ 0.5 µm / 0.5 &lt; d ≤ 1.0 µm /1.0 &lt; d ≤ 5.0 µm / 5.0 µm &lt; d</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露点;-100 ... +20 °C Td</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油蒸气：0.001... 5.000 mg/m³ </w:t>
            </w:r>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颗粒:d &gt; 0.1 μm时：30 ... 70 %d ≥ 0.3 μm时：90 ... 110 %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油蒸气:5 % 测量值 +/- 0.003 mg/m³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1 °C Td (0 ... 20 °C Td)± 2 °C Td (-70 ... 0 °C Td)± 3 °C Td (-100 ... -70 °C Td)</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压力露点：± 1 °C Td (0 ... 20 °C Td)± 2 °C Td (-70 ... 0 °C Td)± 3 °C Td (-100 ... -70 °C Td)</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 ... 1.5 MPa(g)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固定式压缩空气洁净度分析仪</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S601</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bookmarkStart w:id="0" w:name="_GoBack"/>
            <w:r>
              <w:rPr>
                <w:rFonts w:hint="eastAsia" w:ascii="宋体" w:hAnsi="宋体" w:eastAsia="宋体" w:cs="宋体"/>
                <w:i w:val="0"/>
                <w:iCs w:val="0"/>
                <w:color w:val="000000"/>
                <w:kern w:val="0"/>
                <w:sz w:val="24"/>
                <w:szCs w:val="24"/>
                <w:u w:val="none"/>
                <w:lang w:val="en-US" w:eastAsia="zh-CN" w:bidi="ar"/>
              </w:rPr>
              <w:t>希尔思仪表</w:t>
            </w:r>
            <w:bookmarkEnd w:id="0"/>
            <w:r>
              <w:rPr>
                <w:rFonts w:hint="eastAsia" w:ascii="宋体" w:hAnsi="宋体" w:eastAsia="宋体" w:cs="宋体"/>
                <w:i w:val="0"/>
                <w:iCs w:val="0"/>
                <w:color w:val="000000"/>
                <w:kern w:val="0"/>
                <w:sz w:val="24"/>
                <w:szCs w:val="24"/>
                <w:u w:val="none"/>
                <w:lang w:val="en-US" w:eastAsia="zh-CN" w:bidi="ar"/>
              </w:rPr>
              <w:t>（深圳）有限公司</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颗粒、露点、油蒸气</w:t>
            </w:r>
          </w:p>
        </w:tc>
        <w:tc>
          <w:tcPr>
            <w:tcW w:w="2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颗粒：0.1 &lt; d ≤ 0.5 µm / 0.5 &lt; d ≤ 1.0 µm /1.0 &lt; d ≤ 5.0 µm / 5.0 µm &lt; d</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露点;-100 ... +20 °C Td</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油蒸气：0.001... 5.000 mg/m³ </w:t>
            </w:r>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颗粒:d &gt; 0.1 μm时：30 ... 70 %d ≥ 0.3 μm时：90 ... 110 %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油蒸气:5 % 测量值 +/- 0.003 mg/m³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1 °C Td (0 ... 20 °C Td)± 2 °C Td (-70 ... 0 °C Td)± 3 °C Td (-100 ... -70 °C Td)</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压力露点：± 1 °C Td (0 ... 20 °C Td)± 2 °C Td (-70 ... 0 °C Td)± 3 °C Td (-100 ... -70 °C Td)</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 ... 1.5 MPa(g)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压缩空气检测器</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SX-JYF-001</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苏州苏信环境科技有限公司</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颗粒</w:t>
            </w:r>
          </w:p>
        </w:tc>
        <w:tc>
          <w:tcPr>
            <w:tcW w:w="2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粒径: ≥0.3um, 流量: 28.3L/min)</w:t>
            </w:r>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0.1-1.0 MPa（30-150 psi）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氧舱压缩空气质量检测仪</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ML-CKH/ML-CKY</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北京航天鹏诚仪器仪表有限公司</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含水量及颗粒物</w:t>
            </w:r>
          </w:p>
        </w:tc>
        <w:tc>
          <w:tcPr>
            <w:tcW w:w="2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颗粒物：0.1＜d≤5.0（um）；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含水量：0 ~ 3000mg/Nm3(为有效量程)；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温度：0℃ ~ 50℃；</w:t>
            </w:r>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颗粒物：0.1＜d≤5.0（um）；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含水量：0 ~ 3000mg/Nm</w:t>
            </w:r>
            <w:r>
              <w:rPr>
                <w:rFonts w:hint="eastAsia" w:ascii="宋体" w:hAnsi="宋体" w:eastAsia="宋体" w:cs="宋体"/>
                <w:i w:val="0"/>
                <w:iCs w:val="0"/>
                <w:color w:val="000000"/>
                <w:kern w:val="0"/>
                <w:sz w:val="24"/>
                <w:szCs w:val="24"/>
                <w:u w:val="none"/>
                <w:vertAlign w:val="superscript"/>
                <w:lang w:val="en-US" w:eastAsia="zh-CN" w:bidi="ar"/>
              </w:rPr>
              <w:t>3(</w:t>
            </w:r>
            <w:r>
              <w:rPr>
                <w:rFonts w:hint="eastAsia" w:ascii="宋体" w:hAnsi="宋体" w:eastAsia="宋体" w:cs="宋体"/>
                <w:i w:val="0"/>
                <w:iCs w:val="0"/>
                <w:color w:val="000000"/>
                <w:kern w:val="0"/>
                <w:sz w:val="24"/>
                <w:szCs w:val="24"/>
                <w:u w:val="none"/>
                <w:lang w:val="en-US" w:eastAsia="zh-CN" w:bidi="ar"/>
              </w:rPr>
              <w:t>为有效量程)；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温度：0℃ ~ 50℃；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输入压力不得超过1.0Mpa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高压气体颗粒测量仪</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HPGP-101-C PDS-E</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美国PMS</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颗粒物</w:t>
            </w:r>
          </w:p>
        </w:tc>
        <w:tc>
          <w:tcPr>
            <w:tcW w:w="2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流速：0.1SCFM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8通道：0.1μm--5.0μm</w:t>
            </w:r>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计数效率：&gt;50% at 0.14μm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零数计数水平： ＜2/ft3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最大浓度：3000/ft3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40到150psig</w:t>
            </w:r>
          </w:p>
        </w:tc>
      </w:tr>
    </w:tbl>
    <w:p>
      <w:pPr>
        <w:spacing w:line="360" w:lineRule="auto"/>
        <w:rPr>
          <w:bCs/>
          <w:sz w:val="24"/>
          <w:szCs w:val="24"/>
        </w:rPr>
      </w:pPr>
    </w:p>
    <w:p>
      <w:pPr>
        <w:spacing w:line="360" w:lineRule="auto"/>
        <w:rPr>
          <w:rFonts w:ascii="宋体" w:hAnsi="宋体"/>
          <w:b/>
          <w:sz w:val="28"/>
        </w:rPr>
        <w:sectPr>
          <w:pgSz w:w="16838" w:h="11906" w:orient="landscape"/>
          <w:pgMar w:top="1800" w:right="1440" w:bottom="1800"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b/>
          <w:sz w:val="32"/>
          <w:szCs w:val="32"/>
          <w:lang w:val="en-US" w:eastAsia="zh-CN"/>
        </w:rPr>
      </w:pPr>
      <w:r>
        <w:rPr>
          <w:rFonts w:hint="eastAsia" w:ascii="黑体" w:hAnsi="黑体" w:eastAsia="黑体" w:cs="黑体"/>
          <w:b/>
          <w:sz w:val="32"/>
          <w:szCs w:val="32"/>
          <w:lang w:val="en-US" w:eastAsia="zh-CN"/>
        </w:rPr>
        <w:t>四、制订规范主要的参考资料和依据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JJF 1001—2011《通用计量术语及定义》、JJF 1071—2010《国家计量校准规范编写规则》和JJF 1059.1—2012《测量不确定度评定与表示》共同构成本规范制订的基础性系列规范。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本规范中，压缩空气中的“颗粒”、“水分”及“微量油”等术语和定义引自ISO8573-2010和GB/T 13277.1-2023。相应的测量方法参考了JJG 956—2013《大气采样器检定规程》、JJF 1562—2016《凝结核粒子计数器校准规范》、JJF1012—2007 《湿度与水分计量名术语及定义》和JJG 499—2021《精密露点仪检定规程》。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根据JJF1059.1-2012《测量不确定度评定与表示》等相关要求编写了附录B校准结果的不确定度评定实例（见校准规范）。</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_GB2312" w:hAnsi="仿宋_GB2312" w:eastAsia="仿宋_GB2312" w:cs="仿宋_GB2312"/>
          <w:color w:val="auto"/>
          <w:sz w:val="32"/>
          <w:szCs w:val="32"/>
          <w:lang w:val="en-US" w:eastAsia="zh-CN"/>
        </w:rPr>
      </w:pPr>
      <w:r>
        <w:rPr>
          <w:rFonts w:hint="eastAsia" w:ascii="黑体" w:hAnsi="黑体" w:eastAsia="黑体" w:cs="黑体"/>
          <w:b/>
          <w:sz w:val="32"/>
          <w:szCs w:val="32"/>
          <w:lang w:val="en-US" w:eastAsia="zh-CN"/>
        </w:rPr>
        <w:t>五、规范的主要内容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bCs/>
          <w:color w:val="000000" w:themeColor="text1"/>
          <w:lang w:val="en-US" w:eastAsia="zh-CN"/>
          <w14:textFill>
            <w14:solidFill>
              <w14:schemeClr w14:val="tx1"/>
            </w14:solidFill>
          </w14:textFill>
        </w:rPr>
      </w:pPr>
      <w:r>
        <w:rPr>
          <w:rFonts w:hint="eastAsia" w:ascii="仿宋_GB2312" w:hAnsi="仿宋_GB2312" w:eastAsia="仿宋_GB2312" w:cs="仿宋_GB2312"/>
          <w:color w:val="auto"/>
          <w:sz w:val="32"/>
          <w:szCs w:val="32"/>
          <w:lang w:val="en-US" w:eastAsia="zh-CN"/>
        </w:rPr>
        <w:t>本规程为了使压缩空气质量测量仪对社会出具准确、可靠、有效的数据，满足各行业领域的检测需求并对仪器的计量性能进行较为全面的评价，规范起草小组对仪器的主要性能的技术指标进行统一、合理、符合实际的规定。校准项目主要有：流量示值误差、流量重复性、颗粒计数效率、颗粒计数重复性、湿度示值误差和重复性等，对项校目的校准方法和技术指标进行明确的要求，同时对各个技术指标的校准结果的判定、校准条件、校准仪器设备等也做了统一的要求。</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4397106"/>
                          </w:sdtPr>
                          <w:sdtContent>
                            <w:p>
                              <w:pPr>
                                <w:pStyle w:val="7"/>
                                <w:jc w:val="center"/>
                              </w:pPr>
                              <w:r>
                                <w:fldChar w:fldCharType="begin"/>
                              </w:r>
                              <w:r>
                                <w:instrText xml:space="preserve"> PAGE   \* MERGEFORMAT </w:instrText>
                              </w:r>
                              <w:r>
                                <w:fldChar w:fldCharType="separate"/>
                              </w:r>
                              <w:r>
                                <w:rPr>
                                  <w:lang w:val="zh-CN"/>
                                </w:rPr>
                                <w:t>4</w:t>
                              </w:r>
                              <w:r>
                                <w:rPr>
                                  <w:lang w:val="zh-CN"/>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24397106"/>
                    </w:sdtPr>
                    <w:sdtContent>
                      <w:p>
                        <w:pPr>
                          <w:pStyle w:val="7"/>
                          <w:jc w:val="center"/>
                        </w:pPr>
                        <w:r>
                          <w:fldChar w:fldCharType="begin"/>
                        </w:r>
                        <w:r>
                          <w:instrText xml:space="preserve"> PAGE   \* MERGEFORMAT </w:instrText>
                        </w:r>
                        <w:r>
                          <w:fldChar w:fldCharType="separate"/>
                        </w:r>
                        <w:r>
                          <w:rPr>
                            <w:lang w:val="zh-CN"/>
                          </w:rPr>
                          <w:t>4</w:t>
                        </w:r>
                        <w:r>
                          <w:rPr>
                            <w:lang w:val="zh-CN"/>
                          </w:rPr>
                          <w:fldChar w:fldCharType="end"/>
                        </w:r>
                      </w:p>
                    </w:sdtContent>
                  </w:sdt>
                  <w:p/>
                </w:txbxContent>
              </v:textbox>
            </v:shape>
          </w:pict>
        </mc:Fallback>
      </mc:AlternateContent>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D8171"/>
    <w:multiLevelType w:val="singleLevel"/>
    <w:tmpl w:val="1D9D817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EAE"/>
    <w:rsid w:val="002A7D2D"/>
    <w:rsid w:val="0036097B"/>
    <w:rsid w:val="00531AF3"/>
    <w:rsid w:val="0055601E"/>
    <w:rsid w:val="00656D52"/>
    <w:rsid w:val="00742EAE"/>
    <w:rsid w:val="00865B0B"/>
    <w:rsid w:val="0098323C"/>
    <w:rsid w:val="009E38C6"/>
    <w:rsid w:val="00B00C95"/>
    <w:rsid w:val="00B07BFD"/>
    <w:rsid w:val="00CF54A5"/>
    <w:rsid w:val="00E04BFE"/>
    <w:rsid w:val="00FA2340"/>
    <w:rsid w:val="01436652"/>
    <w:rsid w:val="03EF450C"/>
    <w:rsid w:val="04CA33CF"/>
    <w:rsid w:val="05854E0B"/>
    <w:rsid w:val="05AD4D9C"/>
    <w:rsid w:val="07FE63EC"/>
    <w:rsid w:val="09374A3D"/>
    <w:rsid w:val="09EF2CE0"/>
    <w:rsid w:val="0ACC2A1E"/>
    <w:rsid w:val="0C186063"/>
    <w:rsid w:val="0C231617"/>
    <w:rsid w:val="0E653794"/>
    <w:rsid w:val="0EA37E57"/>
    <w:rsid w:val="0EB73198"/>
    <w:rsid w:val="0EFE5836"/>
    <w:rsid w:val="0F8244E4"/>
    <w:rsid w:val="105940F5"/>
    <w:rsid w:val="107A613D"/>
    <w:rsid w:val="10BF4092"/>
    <w:rsid w:val="137840F5"/>
    <w:rsid w:val="13CC31C1"/>
    <w:rsid w:val="13F24D0E"/>
    <w:rsid w:val="14E74923"/>
    <w:rsid w:val="15C62B2C"/>
    <w:rsid w:val="16426CE9"/>
    <w:rsid w:val="16B535F2"/>
    <w:rsid w:val="186F57B2"/>
    <w:rsid w:val="19B838DB"/>
    <w:rsid w:val="1D440347"/>
    <w:rsid w:val="1E2538DF"/>
    <w:rsid w:val="1EA61CCD"/>
    <w:rsid w:val="1F111612"/>
    <w:rsid w:val="1F4574F2"/>
    <w:rsid w:val="20B0681B"/>
    <w:rsid w:val="215A029E"/>
    <w:rsid w:val="21A67263"/>
    <w:rsid w:val="2386320C"/>
    <w:rsid w:val="240972D3"/>
    <w:rsid w:val="249C0FDD"/>
    <w:rsid w:val="264C01AF"/>
    <w:rsid w:val="264F7B84"/>
    <w:rsid w:val="26687298"/>
    <w:rsid w:val="27965DEC"/>
    <w:rsid w:val="279A4837"/>
    <w:rsid w:val="28785763"/>
    <w:rsid w:val="2A0142AE"/>
    <w:rsid w:val="2B202F67"/>
    <w:rsid w:val="2B4A6C31"/>
    <w:rsid w:val="2B5909D1"/>
    <w:rsid w:val="2BC86AB5"/>
    <w:rsid w:val="2D347511"/>
    <w:rsid w:val="2E1251E6"/>
    <w:rsid w:val="2F59466B"/>
    <w:rsid w:val="309F7EE4"/>
    <w:rsid w:val="30E234ED"/>
    <w:rsid w:val="310219A7"/>
    <w:rsid w:val="32226434"/>
    <w:rsid w:val="32816125"/>
    <w:rsid w:val="32C81369"/>
    <w:rsid w:val="34704EAF"/>
    <w:rsid w:val="35434482"/>
    <w:rsid w:val="3545691D"/>
    <w:rsid w:val="35FF4E4E"/>
    <w:rsid w:val="36682367"/>
    <w:rsid w:val="37876FE3"/>
    <w:rsid w:val="37B4015B"/>
    <w:rsid w:val="393574FD"/>
    <w:rsid w:val="39B94C8A"/>
    <w:rsid w:val="3BCB37ED"/>
    <w:rsid w:val="3C4A4E55"/>
    <w:rsid w:val="3C5848D8"/>
    <w:rsid w:val="3CED224D"/>
    <w:rsid w:val="3CFE76F2"/>
    <w:rsid w:val="3FE656DF"/>
    <w:rsid w:val="40A93B8A"/>
    <w:rsid w:val="42F877D5"/>
    <w:rsid w:val="43BF348B"/>
    <w:rsid w:val="43C20530"/>
    <w:rsid w:val="440A54F4"/>
    <w:rsid w:val="44341AC8"/>
    <w:rsid w:val="44A17ECA"/>
    <w:rsid w:val="44B45275"/>
    <w:rsid w:val="44F45E83"/>
    <w:rsid w:val="46C30456"/>
    <w:rsid w:val="46F014CA"/>
    <w:rsid w:val="4726263F"/>
    <w:rsid w:val="48717092"/>
    <w:rsid w:val="489A413E"/>
    <w:rsid w:val="492D39B1"/>
    <w:rsid w:val="49B2195F"/>
    <w:rsid w:val="4A100E2B"/>
    <w:rsid w:val="4ADC1241"/>
    <w:rsid w:val="4CDF1F8E"/>
    <w:rsid w:val="4D0B571B"/>
    <w:rsid w:val="4D0E1291"/>
    <w:rsid w:val="4D1401D9"/>
    <w:rsid w:val="4D2D625B"/>
    <w:rsid w:val="4DEB47E4"/>
    <w:rsid w:val="4FF21F06"/>
    <w:rsid w:val="50462B50"/>
    <w:rsid w:val="5089701A"/>
    <w:rsid w:val="514515EA"/>
    <w:rsid w:val="5236578C"/>
    <w:rsid w:val="52592B12"/>
    <w:rsid w:val="5434434B"/>
    <w:rsid w:val="554B0188"/>
    <w:rsid w:val="55C037ED"/>
    <w:rsid w:val="583D011D"/>
    <w:rsid w:val="5A3F15F4"/>
    <w:rsid w:val="5AED2609"/>
    <w:rsid w:val="5B462FE1"/>
    <w:rsid w:val="5CB51484"/>
    <w:rsid w:val="5E0D5B21"/>
    <w:rsid w:val="5F4E397A"/>
    <w:rsid w:val="60D0118C"/>
    <w:rsid w:val="61591CBE"/>
    <w:rsid w:val="61607F8A"/>
    <w:rsid w:val="61707206"/>
    <w:rsid w:val="64F713D9"/>
    <w:rsid w:val="651A53E4"/>
    <w:rsid w:val="651B2512"/>
    <w:rsid w:val="654D0BE7"/>
    <w:rsid w:val="675B22B1"/>
    <w:rsid w:val="68266BEC"/>
    <w:rsid w:val="68ED1338"/>
    <w:rsid w:val="691D67F7"/>
    <w:rsid w:val="69786581"/>
    <w:rsid w:val="69DF6E53"/>
    <w:rsid w:val="6A023025"/>
    <w:rsid w:val="6A827D65"/>
    <w:rsid w:val="6AD07B0C"/>
    <w:rsid w:val="6DC77944"/>
    <w:rsid w:val="6E047756"/>
    <w:rsid w:val="6E8B6894"/>
    <w:rsid w:val="6F0D0E3E"/>
    <w:rsid w:val="72E43F90"/>
    <w:rsid w:val="74B06AC9"/>
    <w:rsid w:val="7515225B"/>
    <w:rsid w:val="76061C17"/>
    <w:rsid w:val="760F3FC6"/>
    <w:rsid w:val="76984B07"/>
    <w:rsid w:val="77D80F6A"/>
    <w:rsid w:val="77E05C1E"/>
    <w:rsid w:val="783127F4"/>
    <w:rsid w:val="798B39DF"/>
    <w:rsid w:val="7BE53768"/>
    <w:rsid w:val="7C7D2707"/>
    <w:rsid w:val="7DBD6FA6"/>
    <w:rsid w:val="7E351B0E"/>
    <w:rsid w:val="7E550B00"/>
    <w:rsid w:val="7E583BE6"/>
    <w:rsid w:val="7F811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qFormat="1"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b/>
      <w:kern w:val="44"/>
      <w:sz w:val="48"/>
      <w:szCs w:val="48"/>
    </w:rPr>
  </w:style>
  <w:style w:type="paragraph" w:styleId="3">
    <w:name w:val="heading 2"/>
    <w:basedOn w:val="1"/>
    <w:next w:val="1"/>
    <w:qFormat/>
    <w:uiPriority w:val="0"/>
    <w:pPr>
      <w:keepNext/>
      <w:jc w:val="center"/>
      <w:outlineLvl w:val="1"/>
    </w:pPr>
    <w:rPr>
      <w:kern w:val="0"/>
      <w:sz w:val="30"/>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unhideWhenUsed/>
    <w:qFormat/>
    <w:uiPriority w:val="99"/>
    <w:pPr>
      <w:jc w:val="left"/>
    </w:pPr>
  </w:style>
  <w:style w:type="paragraph" w:styleId="6">
    <w:name w:val="Body Text Indent 2"/>
    <w:basedOn w:val="1"/>
    <w:qFormat/>
    <w:uiPriority w:val="0"/>
    <w:pPr>
      <w:spacing w:after="120" w:line="480" w:lineRule="auto"/>
      <w:ind w:left="420" w:leftChars="200"/>
    </w:pPr>
  </w:style>
  <w:style w:type="paragraph" w:styleId="7">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22"/>
    <w:rPr>
      <w:b/>
    </w:rPr>
  </w:style>
  <w:style w:type="character" w:styleId="14">
    <w:name w:val="page number"/>
    <w:basedOn w:val="12"/>
    <w:qFormat/>
    <w:uiPriority w:val="0"/>
  </w:style>
  <w:style w:type="character" w:styleId="15">
    <w:name w:val="Emphasis"/>
    <w:basedOn w:val="12"/>
    <w:qFormat/>
    <w:uiPriority w:val="20"/>
    <w:rPr>
      <w:color w:val="CC0000"/>
    </w:rPr>
  </w:style>
  <w:style w:type="character" w:styleId="16">
    <w:name w:val="Hyperlink"/>
    <w:basedOn w:val="12"/>
    <w:semiHidden/>
    <w:unhideWhenUsed/>
    <w:qFormat/>
    <w:uiPriority w:val="99"/>
    <w:rPr>
      <w:color w:val="0000FF"/>
      <w:u w:val="single"/>
    </w:rPr>
  </w:style>
  <w:style w:type="character" w:styleId="17">
    <w:name w:val="HTML Cite"/>
    <w:basedOn w:val="12"/>
    <w:semiHidden/>
    <w:unhideWhenUsed/>
    <w:qFormat/>
    <w:uiPriority w:val="99"/>
    <w:rPr>
      <w:color w:val="008000"/>
    </w:rPr>
  </w:style>
  <w:style w:type="character" w:customStyle="1" w:styleId="18">
    <w:name w:val="页眉 Char"/>
    <w:basedOn w:val="12"/>
    <w:link w:val="8"/>
    <w:qFormat/>
    <w:uiPriority w:val="99"/>
    <w:rPr>
      <w:sz w:val="18"/>
      <w:szCs w:val="18"/>
    </w:rPr>
  </w:style>
  <w:style w:type="character" w:customStyle="1" w:styleId="19">
    <w:name w:val="页脚 Char"/>
    <w:basedOn w:val="12"/>
    <w:link w:val="7"/>
    <w:qFormat/>
    <w:uiPriority w:val="99"/>
    <w:rPr>
      <w:sz w:val="18"/>
      <w:szCs w:val="18"/>
    </w:rPr>
  </w:style>
  <w:style w:type="character" w:customStyle="1" w:styleId="20">
    <w:name w:val="c-icon14"/>
    <w:basedOn w:val="12"/>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977</Words>
  <Characters>5571</Characters>
  <Lines>46</Lines>
  <Paragraphs>13</Paragraphs>
  <TotalTime>14</TotalTime>
  <ScaleCrop>false</ScaleCrop>
  <LinksUpToDate>false</LinksUpToDate>
  <CharactersWithSpaces>6535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2017-09-20T09:44:00Z</dcterms:created>
  <dc:creator>PC</dc:creator>
  <cp:lastModifiedBy>韩蒙</cp:lastModifiedBy>
  <dcterms:modified xsi:type="dcterms:W3CDTF">2024-09-02T09:50:41Z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